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6D6717" w14:paraId="1C12F541" w14:textId="7777777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2F540" w14:textId="77777777" w:rsidR="006D6717" w:rsidRDefault="00A00B03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6D6717" w14:paraId="1C12F544" w14:textId="7777777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2F542" w14:textId="77777777" w:rsidR="006D6717" w:rsidRDefault="00A00B0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2F543" w14:textId="77777777" w:rsidR="006D6717" w:rsidRDefault="00A00B03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eastAsia="SimSun" w:hAnsi="Arial" w:cs="Arial" w:hint="eastAsia"/>
                <w:sz w:val="36"/>
                <w:szCs w:val="24"/>
                <w:lang w:val="en-US" w:eastAsia="zh-CN"/>
              </w:rPr>
              <w:t>P</w:t>
            </w:r>
            <w:r>
              <w:rPr>
                <w:rFonts w:ascii="Arial" w:eastAsia="SimSun" w:hAnsi="Arial" w:cs="Arial" w:hint="eastAsia"/>
                <w:sz w:val="36"/>
                <w:szCs w:val="24"/>
                <w:lang w:val="fr-FR" w:eastAsia="zh-CN"/>
              </w:rPr>
              <w:t xml:space="preserve">ublication of ETSI NFV </w:t>
            </w:r>
            <w:r>
              <w:rPr>
                <w:rFonts w:ascii="Arial" w:eastAsia="SimSun" w:hAnsi="Arial" w:cs="Arial" w:hint="eastAsia"/>
                <w:sz w:val="36"/>
                <w:szCs w:val="24"/>
                <w:lang w:val="fr-FR" w:eastAsia="zh-CN"/>
              </w:rPr>
              <w:t>specification</w:t>
            </w:r>
            <w:r>
              <w:rPr>
                <w:rFonts w:ascii="Arial" w:eastAsia="SimSun" w:hAnsi="Arial" w:cs="Arial" w:hint="eastAsia"/>
                <w:sz w:val="36"/>
                <w:szCs w:val="24"/>
                <w:lang w:val="en-US" w:eastAsia="zh-CN"/>
              </w:rPr>
              <w:t xml:space="preserve"> on</w:t>
            </w:r>
            <w:r>
              <w:rPr>
                <w:rFonts w:ascii="Arial" w:eastAsia="SimSun" w:hAnsi="Arial" w:cs="Arial" w:hint="eastAsia"/>
                <w:sz w:val="36"/>
                <w:szCs w:val="24"/>
                <w:lang w:val="fr-FR" w:eastAsia="zh-CN"/>
              </w:rPr>
              <w:t xml:space="preserve"> Intent Management Service Interface and Intent Information Model </w:t>
            </w:r>
          </w:p>
        </w:tc>
      </w:tr>
      <w:tr w:rsidR="006D6717" w14:paraId="1C12F547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2F545" w14:textId="77777777" w:rsidR="006D6717" w:rsidRDefault="00A00B0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</w:rPr>
              <w:t>Date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C12F546" w14:textId="565D06A3" w:rsidR="006D6717" w:rsidRDefault="00A00B0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202</w:t>
            </w:r>
            <w:r>
              <w:rPr>
                <w:rFonts w:ascii="Arial" w:eastAsia="SimSun" w:hAnsi="Arial" w:cs="Arial" w:hint="eastAsia"/>
                <w:lang w:val="en-US" w:eastAsia="zh-CN"/>
              </w:rPr>
              <w:t>3</w:t>
            </w:r>
            <w:r>
              <w:rPr>
                <w:rFonts w:ascii="Arial" w:hAnsi="Arial" w:cs="Arial" w:hint="eastAsia"/>
              </w:rPr>
              <w:t>-</w:t>
            </w:r>
            <w:r w:rsidR="00346071">
              <w:rPr>
                <w:rFonts w:ascii="Arial" w:eastAsia="SimSun" w:hAnsi="Arial" w:cs="Arial"/>
                <w:lang w:val="en-US" w:eastAsia="zh-CN"/>
              </w:rPr>
              <w:t>10</w:t>
            </w:r>
            <w:r>
              <w:rPr>
                <w:rFonts w:ascii="Arial" w:eastAsia="SimSun" w:hAnsi="Arial" w:cs="Arial" w:hint="eastAsia"/>
                <w:lang w:eastAsia="zh-CN"/>
              </w:rPr>
              <w:t>-</w:t>
            </w:r>
            <w:r w:rsidR="00346071">
              <w:rPr>
                <w:rFonts w:ascii="Arial" w:eastAsia="SimSun" w:hAnsi="Arial" w:cs="Arial"/>
                <w:lang w:val="en-US" w:eastAsia="zh-CN"/>
              </w:rPr>
              <w:t>20</w:t>
            </w:r>
          </w:p>
        </w:tc>
      </w:tr>
      <w:tr w:rsidR="006D6717" w14:paraId="1C12F54A" w14:textId="7777777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2F548" w14:textId="77777777" w:rsidR="006D6717" w:rsidRDefault="006D671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2F549" w14:textId="77777777" w:rsidR="006D6717" w:rsidRDefault="006D671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6D6717" w14:paraId="1C12F54D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2F54B" w14:textId="77777777" w:rsidR="006D6717" w:rsidRDefault="00A00B0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2F54C" w14:textId="77777777" w:rsidR="006D6717" w:rsidRDefault="00A00B03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0000FF"/>
                <w:sz w:val="28"/>
                <w:szCs w:val="28"/>
              </w:rPr>
              <w:t>ETSI ISG NFV</w:t>
            </w:r>
          </w:p>
        </w:tc>
      </w:tr>
      <w:tr w:rsidR="006D6717" w14:paraId="1C12F558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2F54E" w14:textId="77777777" w:rsidR="006D6717" w:rsidRDefault="00A00B0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2F54F" w14:textId="77777777" w:rsidR="006D6717" w:rsidRDefault="00A00B03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 w:hint="eastAsia"/>
                <w:color w:val="0000FF"/>
              </w:rPr>
              <w:t>Yoshihiro Nakajima (ISG Chair) (</w:t>
            </w:r>
            <w:hyperlink r:id="rId8" w:history="1">
              <w:r>
                <w:rPr>
                  <w:rFonts w:ascii="Arial" w:hAnsi="Arial" w:cs="Arial" w:hint="eastAsia"/>
                  <w:color w:val="0000FF"/>
                </w:rPr>
                <w:t>yoshihiro.nakajima.td@nttdocomo.com</w:t>
              </w:r>
            </w:hyperlink>
            <w:r>
              <w:rPr>
                <w:rFonts w:ascii="Arial" w:hAnsi="Arial" w:cs="Arial" w:hint="eastAsia"/>
                <w:color w:val="0000FF"/>
              </w:rPr>
              <w:t>)</w:t>
            </w:r>
          </w:p>
          <w:p w14:paraId="1C12F550" w14:textId="77777777" w:rsidR="006D6717" w:rsidRDefault="00A00B03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 w:hint="eastAsia"/>
                <w:color w:val="0000FF"/>
              </w:rPr>
              <w:t>Deng Hui (ISG Vice-Chair) (denghui12@huawei.com)</w:t>
            </w:r>
          </w:p>
          <w:p w14:paraId="1C12F551" w14:textId="77777777" w:rsidR="006D6717" w:rsidRDefault="00A00B03">
            <w:pPr>
              <w:rPr>
                <w:rFonts w:ascii="Arial" w:hAnsi="Arial" w:cs="Arial"/>
                <w:color w:val="0000FF"/>
                <w:lang w:val="pl-PL"/>
              </w:rPr>
            </w:pPr>
            <w:r>
              <w:rPr>
                <w:rFonts w:ascii="Arial" w:hAnsi="Arial" w:cs="Arial" w:hint="eastAsia"/>
                <w:color w:val="0000FF"/>
                <w:lang w:val="pl-PL"/>
              </w:rPr>
              <w:t>Janusz Pieczerak (ISG Vice-Chair) (janusz.pieczerak@orange.com)</w:t>
            </w:r>
          </w:p>
          <w:p w14:paraId="1C12F552" w14:textId="77777777" w:rsidR="006D6717" w:rsidRDefault="00A00B03">
            <w:pPr>
              <w:rPr>
                <w:rFonts w:ascii="Arial" w:hAnsi="Arial" w:cs="Arial"/>
                <w:color w:val="0000FF"/>
                <w:lang w:val="de-DE"/>
              </w:rPr>
            </w:pPr>
            <w:r>
              <w:rPr>
                <w:rFonts w:ascii="Arial" w:hAnsi="Arial" w:cs="Arial" w:hint="eastAsia"/>
                <w:color w:val="0000FF"/>
                <w:lang w:val="de-DE"/>
              </w:rPr>
              <w:t>Ulrich Klebe</w:t>
            </w:r>
            <w:r>
              <w:rPr>
                <w:rFonts w:ascii="Arial" w:hAnsi="Arial" w:cs="Arial" w:hint="eastAsia"/>
                <w:color w:val="0000FF"/>
                <w:lang w:val="de-DE"/>
              </w:rPr>
              <w:t>r (ISG Technical Manager) (</w:t>
            </w:r>
            <w:hyperlink r:id="rId9" w:history="1">
              <w:r>
                <w:rPr>
                  <w:rStyle w:val="Hyperlink"/>
                  <w:rFonts w:ascii="Arial" w:hAnsi="Arial" w:cs="Arial" w:hint="eastAsia"/>
                  <w:lang w:val="de-DE"/>
                </w:rPr>
                <w:t>ulrich.kleber@huawei.com</w:t>
              </w:r>
            </w:hyperlink>
            <w:r>
              <w:rPr>
                <w:rFonts w:ascii="Arial" w:hAnsi="Arial" w:cs="Arial" w:hint="eastAsia"/>
                <w:color w:val="0000FF"/>
                <w:lang w:val="de-DE"/>
              </w:rPr>
              <w:t>)</w:t>
            </w:r>
          </w:p>
          <w:p w14:paraId="1C12F553" w14:textId="77777777" w:rsidR="006D6717" w:rsidRDefault="00A00B03">
            <w:pPr>
              <w:rPr>
                <w:rFonts w:ascii="Arial" w:hAnsi="Arial" w:cs="Arial"/>
                <w:color w:val="0000FF"/>
                <w:lang w:val="en-US"/>
              </w:rPr>
            </w:pPr>
            <w:r>
              <w:rPr>
                <w:rFonts w:ascii="Arial" w:hAnsi="Arial" w:cs="Arial"/>
                <w:color w:val="0000FF"/>
                <w:lang w:val="en-US"/>
              </w:rPr>
              <w:t>Manchang Ju (ISG Technical assistant) (</w:t>
            </w:r>
            <w:r>
              <w:rPr>
                <w:rFonts w:ascii="Arial" w:hAnsi="Arial" w:cs="Arial" w:hint="eastAsia"/>
                <w:color w:val="0000FF"/>
                <w:lang w:val="en-US"/>
              </w:rPr>
              <w:t>ju.manchang@zte.com.cn</w:t>
            </w:r>
            <w:r>
              <w:rPr>
                <w:rFonts w:ascii="Arial" w:hAnsi="Arial" w:cs="Arial"/>
                <w:color w:val="0000FF"/>
                <w:lang w:val="en-US"/>
              </w:rPr>
              <w:t>)</w:t>
            </w:r>
          </w:p>
          <w:p w14:paraId="1C12F554" w14:textId="77777777" w:rsidR="006D6717" w:rsidRDefault="00A00B03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 w:hint="eastAsia"/>
                <w:color w:val="0000FF"/>
              </w:rPr>
              <w:t xml:space="preserve">Xia Haitao (IFA WG Chair) </w:t>
            </w:r>
            <w:r>
              <w:rPr>
                <w:rFonts w:ascii="Arial" w:hAnsi="Arial" w:cs="Arial" w:hint="eastAsia"/>
                <w:color w:val="0000FF"/>
              </w:rPr>
              <w:t>(xiahaitao@huawei.com)</w:t>
            </w:r>
          </w:p>
          <w:p w14:paraId="1C12F555" w14:textId="77777777" w:rsidR="006D6717" w:rsidRDefault="00A00B03">
            <w:pPr>
              <w:rPr>
                <w:rFonts w:ascii="Arial" w:hAnsi="Arial" w:cs="Arial"/>
                <w:color w:val="0000FF"/>
                <w:lang w:val="fr-FR"/>
              </w:rPr>
            </w:pPr>
            <w:r>
              <w:rPr>
                <w:rFonts w:ascii="Arial" w:hAnsi="Arial" w:cs="Arial" w:hint="eastAsia"/>
                <w:color w:val="0000FF"/>
                <w:lang w:val="fr-FR"/>
              </w:rPr>
              <w:t>Kostas Katsalis (IFA WG Vice Chair) (katsalis@docomolab-euro.com)</w:t>
            </w:r>
          </w:p>
          <w:p w14:paraId="1C12F556" w14:textId="77777777" w:rsidR="006D6717" w:rsidRDefault="00A00B03">
            <w:pPr>
              <w:rPr>
                <w:rFonts w:ascii="Arial" w:hAnsi="Arial" w:cs="Arial"/>
                <w:color w:val="0000FF"/>
                <w:lang w:val="fr-FR"/>
              </w:rPr>
            </w:pPr>
            <w:r w:rsidRPr="007D0A94">
              <w:rPr>
                <w:rFonts w:ascii="Arial" w:eastAsia="SimSun" w:hAnsi="Arial" w:cs="Arial" w:hint="eastAsia"/>
                <w:color w:val="0000FF"/>
                <w:lang w:val="fr-FR" w:eastAsia="zh-CN"/>
              </w:rPr>
              <w:t xml:space="preserve">Lingli Deng </w:t>
            </w:r>
            <w:r>
              <w:rPr>
                <w:rFonts w:ascii="Arial" w:hAnsi="Arial" w:cs="Arial" w:hint="eastAsia"/>
                <w:color w:val="0000FF"/>
                <w:lang w:val="fr-FR"/>
              </w:rPr>
              <w:t>(IFA05</w:t>
            </w:r>
            <w:r w:rsidRPr="007D0A94">
              <w:rPr>
                <w:rFonts w:ascii="Arial" w:eastAsia="SimSun" w:hAnsi="Arial" w:cs="Arial" w:hint="eastAsia"/>
                <w:color w:val="0000FF"/>
                <w:lang w:val="fr-FR" w:eastAsia="zh-CN"/>
              </w:rPr>
              <w:t>0</w:t>
            </w:r>
            <w:r>
              <w:rPr>
                <w:rFonts w:ascii="Arial" w:hAnsi="Arial" w:cs="Arial" w:hint="eastAsia"/>
                <w:color w:val="0000FF"/>
                <w:lang w:val="fr-FR"/>
              </w:rPr>
              <w:t xml:space="preserve"> Rapporteur) (</w:t>
            </w:r>
            <w:r w:rsidRPr="007D0A94">
              <w:rPr>
                <w:rFonts w:ascii="Arial" w:eastAsia="SimSun" w:hAnsi="Arial" w:cs="Arial" w:hint="eastAsia"/>
                <w:color w:val="0000FF"/>
                <w:lang w:val="fr-FR" w:eastAsia="zh-CN"/>
              </w:rPr>
              <w:t>Denglingli</w:t>
            </w:r>
            <w:r>
              <w:rPr>
                <w:rFonts w:ascii="Arial" w:hAnsi="Arial" w:cs="Arial" w:hint="eastAsia"/>
                <w:color w:val="0000FF"/>
                <w:lang w:val="fr-FR"/>
              </w:rPr>
              <w:t>@</w:t>
            </w:r>
            <w:r w:rsidRPr="007D0A94">
              <w:rPr>
                <w:rFonts w:ascii="Arial" w:eastAsia="SimSun" w:hAnsi="Arial" w:cs="Arial" w:hint="eastAsia"/>
                <w:color w:val="0000FF"/>
                <w:lang w:val="fr-FR" w:eastAsia="zh-CN"/>
              </w:rPr>
              <w:t>chinamobile.com</w:t>
            </w:r>
            <w:r>
              <w:rPr>
                <w:rFonts w:ascii="Arial" w:hAnsi="Arial" w:cs="Arial" w:hint="eastAsia"/>
                <w:color w:val="0000FF"/>
                <w:lang w:val="fr-FR"/>
              </w:rPr>
              <w:t>)</w:t>
            </w:r>
          </w:p>
          <w:p w14:paraId="1C12F557" w14:textId="77777777" w:rsidR="006D6717" w:rsidRDefault="00A00B03">
            <w:pPr>
              <w:ind w:left="57"/>
              <w:rPr>
                <w:rFonts w:ascii="Arial" w:hAnsi="Arial" w:cs="Arial"/>
                <w:sz w:val="24"/>
              </w:rPr>
            </w:pPr>
            <w:hyperlink r:id="rId10" w:history="1">
              <w:r>
                <w:rPr>
                  <w:rFonts w:ascii="Arial" w:hAnsi="Arial" w:cs="Arial" w:hint="eastAsia"/>
                  <w:color w:val="0000FF"/>
                </w:rPr>
                <w:t>NFVSupport@etsi.org</w:t>
              </w:r>
            </w:hyperlink>
            <w:r>
              <w:rPr>
                <w:rStyle w:val="Hyperlink"/>
                <w:rFonts w:hint="eastAsia"/>
              </w:rPr>
              <w:t xml:space="preserve"> </w:t>
            </w:r>
          </w:p>
        </w:tc>
      </w:tr>
      <w:tr w:rsidR="006D6717" w14:paraId="1C12F55B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2F559" w14:textId="77777777" w:rsidR="006D6717" w:rsidRDefault="006D671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2F55A" w14:textId="77777777" w:rsidR="006D6717" w:rsidRDefault="006D671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6D6717" w:rsidRPr="007D0A94" w14:paraId="1C12F55E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2F55C" w14:textId="77777777" w:rsidR="006D6717" w:rsidRDefault="00A00B0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C12F55D" w14:textId="77777777" w:rsidR="006D6717" w:rsidRPr="007D0A94" w:rsidRDefault="00A00B03">
            <w:pPr>
              <w:tabs>
                <w:tab w:val="left" w:pos="4891"/>
              </w:tabs>
              <w:ind w:left="57"/>
              <w:jc w:val="both"/>
              <w:rPr>
                <w:rFonts w:ascii="Arial" w:eastAsia="SimSun" w:hAnsi="Arial" w:cs="Arial"/>
                <w:sz w:val="28"/>
                <w:lang w:val="fr-FR" w:eastAsia="zh-CN"/>
              </w:rPr>
            </w:pPr>
            <w:r>
              <w:rPr>
                <w:rFonts w:ascii="Arial" w:hAnsi="Arial" w:cs="Arial" w:hint="eastAsia"/>
                <w:sz w:val="28"/>
                <w:lang w:val="de-DE"/>
              </w:rPr>
              <w:t>TM Forum, 3GPP SA5, ETSI ISG ZSM, ETSI ISG ENI, LFN</w:t>
            </w:r>
            <w:r>
              <w:rPr>
                <w:rFonts w:ascii="Arial" w:hAnsi="Arial" w:cs="Arial" w:hint="eastAsia"/>
                <w:sz w:val="28"/>
                <w:lang w:val="de-DE" w:eastAsia="zh-CN"/>
              </w:rPr>
              <w:t>, O-RAN Alliance, ITU-T SG13</w:t>
            </w:r>
          </w:p>
        </w:tc>
      </w:tr>
      <w:tr w:rsidR="006D6717" w14:paraId="1C12F561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2F55F" w14:textId="77777777" w:rsidR="006D6717" w:rsidRDefault="00A00B0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C12F560" w14:textId="7D836E30" w:rsidR="006D6717" w:rsidRDefault="00A00B03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n/a</w:t>
            </w:r>
          </w:p>
        </w:tc>
      </w:tr>
      <w:tr w:rsidR="006D6717" w14:paraId="1C12F564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2F562" w14:textId="77777777" w:rsidR="006D6717" w:rsidRDefault="006D671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C12F563" w14:textId="77777777" w:rsidR="006D6717" w:rsidRDefault="006D671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6D6717" w14:paraId="1C12F567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2F565" w14:textId="77777777" w:rsidR="006D6717" w:rsidRDefault="00A00B0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Response to</w:t>
            </w:r>
            <w:r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C12F566" w14:textId="77777777" w:rsidR="006D6717" w:rsidRDefault="00A00B03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 w:hint="eastAsia"/>
                <w:color w:val="0000FF"/>
              </w:rPr>
              <w:t>n/a</w:t>
            </w:r>
          </w:p>
        </w:tc>
      </w:tr>
      <w:tr w:rsidR="006D6717" w14:paraId="1C12F56A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2F568" w14:textId="77777777" w:rsidR="006D6717" w:rsidRDefault="006D671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C12F569" w14:textId="77777777" w:rsidR="006D6717" w:rsidRDefault="006D671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6D6717" w14:paraId="1C12F56D" w14:textId="77777777" w:rsidTr="007D0A94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C12F56B" w14:textId="77777777" w:rsidR="006D6717" w:rsidRDefault="00A00B0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2F56C" w14:textId="77777777" w:rsidR="006D6717" w:rsidRDefault="00A00B03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 w:hint="eastAsia"/>
                <w:color w:val="0000FF"/>
              </w:rPr>
              <w:t>n/a</w:t>
            </w:r>
          </w:p>
        </w:tc>
      </w:tr>
      <w:tr w:rsidR="006D6717" w14:paraId="1C12F56F" w14:textId="7777777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C12F56E" w14:textId="77777777" w:rsidR="006D6717" w:rsidRDefault="006D671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C12F570" w14:textId="77777777" w:rsidR="006D6717" w:rsidRDefault="006D6717"/>
    <w:p w14:paraId="1C12F571" w14:textId="77777777" w:rsidR="006D6717" w:rsidRDefault="00A00B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C12F572" w14:textId="77777777" w:rsidR="006D6717" w:rsidRDefault="00A00B03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The ETSI NFV Industry Specification group (ISG) would like to inform you that </w:t>
      </w:r>
      <w:r>
        <w:rPr>
          <w:rFonts w:ascii="Arial" w:eastAsia="SimSun" w:hAnsi="Arial" w:cs="Arial"/>
          <w:lang w:eastAsia="zh-CN"/>
        </w:rPr>
        <w:t>ETSI GS NFV-IFA 050, “</w:t>
      </w:r>
      <w:r>
        <w:rPr>
          <w:rFonts w:ascii="Arial" w:eastAsia="SimSun" w:hAnsi="Arial" w:cs="Arial" w:hint="eastAsia"/>
          <w:lang w:eastAsia="zh-CN"/>
        </w:rPr>
        <w:t>Network Functions Virtualisation (NFV) Release 4; Management and Orchestration; Intent Management Service Interface and Intent Information Model Specificati</w:t>
      </w:r>
      <w:r>
        <w:rPr>
          <w:rFonts w:ascii="Arial" w:eastAsia="SimSun" w:hAnsi="Arial" w:cs="Arial" w:hint="eastAsia"/>
          <w:lang w:eastAsia="zh-CN"/>
        </w:rPr>
        <w:t>on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 xml:space="preserve">Intent Mgmt: Svc Intface &amp; Info Model </w:t>
      </w:r>
      <w:r>
        <w:rPr>
          <w:rFonts w:ascii="Arial" w:eastAsia="SimSun" w:hAnsi="Arial" w:cs="Arial"/>
          <w:lang w:eastAsia="zh-CN"/>
        </w:rPr>
        <w:t xml:space="preserve">” </w:t>
      </w:r>
      <w:r>
        <w:rPr>
          <w:rFonts w:ascii="Arial" w:eastAsia="SimSun" w:hAnsi="Arial" w:cs="Arial" w:hint="eastAsia"/>
          <w:lang w:val="en-US" w:eastAsia="zh-CN"/>
        </w:rPr>
        <w:t>has been published</w:t>
      </w:r>
      <w:r>
        <w:rPr>
          <w:rFonts w:ascii="Arial" w:eastAsia="SimSun" w:hAnsi="Arial" w:cs="Arial"/>
          <w:lang w:val="en-US" w:eastAsia="zh-CN"/>
        </w:rPr>
        <w:t xml:space="preserve">. </w:t>
      </w:r>
    </w:p>
    <w:p w14:paraId="1C12F573" w14:textId="77777777" w:rsidR="006D6717" w:rsidRDefault="006D6717">
      <w:pPr>
        <w:jc w:val="both"/>
        <w:rPr>
          <w:rFonts w:ascii="Arial" w:eastAsia="SimSun" w:hAnsi="Arial" w:cs="Arial"/>
          <w:lang w:val="en-US" w:eastAsia="zh-CN"/>
        </w:rPr>
      </w:pPr>
    </w:p>
    <w:p w14:paraId="1C12F574" w14:textId="77777777" w:rsidR="006D6717" w:rsidRDefault="00A00B03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The</w:t>
      </w:r>
      <w:r>
        <w:rPr>
          <w:rFonts w:ascii="Arial" w:eastAsia="SimSun" w:hAnsi="Arial" w:cs="Arial" w:hint="eastAsia"/>
          <w:lang w:val="en-US" w:eastAsia="zh-CN"/>
        </w:rPr>
        <w:t xml:space="preserve"> publication of IFA050</w:t>
      </w:r>
      <w:r>
        <w:rPr>
          <w:rFonts w:ascii="Arial" w:eastAsia="SimSun" w:hAnsi="Arial" w:cs="Arial"/>
          <w:lang w:val="en-US" w:eastAsia="zh-CN"/>
        </w:rPr>
        <w:t xml:space="preserve"> is available at the following location: </w:t>
      </w:r>
    </w:p>
    <w:p w14:paraId="1C12F575" w14:textId="77777777" w:rsidR="006D6717" w:rsidRDefault="006D6717">
      <w:pPr>
        <w:jc w:val="both"/>
        <w:rPr>
          <w:rFonts w:ascii="Arial" w:eastAsia="SimSun" w:hAnsi="Arial" w:cs="Arial"/>
          <w:lang w:val="en-US" w:eastAsia="zh-CN"/>
        </w:rPr>
      </w:pPr>
    </w:p>
    <w:p w14:paraId="1C12F577" w14:textId="2D85911D" w:rsidR="006D6717" w:rsidRDefault="00E1181F">
      <w:pPr>
        <w:jc w:val="both"/>
        <w:rPr>
          <w:rFonts w:ascii="Arial" w:eastAsia="SimSun" w:hAnsi="Arial" w:cs="Arial"/>
          <w:lang w:val="en-US" w:eastAsia="zh-CN"/>
        </w:rPr>
      </w:pPr>
      <w:hyperlink r:id="rId11" w:history="1">
        <w:r w:rsidRPr="006D533B">
          <w:rPr>
            <w:rStyle w:val="Hyperlink"/>
            <w:rFonts w:ascii="Arial" w:eastAsia="SimSun" w:hAnsi="Arial" w:cs="Arial"/>
            <w:lang w:val="en-US" w:eastAsia="zh-CN"/>
          </w:rPr>
          <w:t>https://www.etsi.org/deliver/etsi_gs/NFV-IFA/001_099/050/04.05.01_60/gs_NFV-IFA050v040501p.pdf</w:t>
        </w:r>
      </w:hyperlink>
    </w:p>
    <w:p w14:paraId="22C6462C" w14:textId="77777777" w:rsidR="00E1181F" w:rsidRDefault="00E1181F">
      <w:pPr>
        <w:jc w:val="both"/>
        <w:rPr>
          <w:rFonts w:ascii="Arial" w:eastAsia="SimSun" w:hAnsi="Arial" w:cs="Arial"/>
          <w:lang w:eastAsia="zh-CN"/>
        </w:rPr>
      </w:pPr>
    </w:p>
    <w:p w14:paraId="1C12F578" w14:textId="77777777" w:rsidR="006D6717" w:rsidRDefault="00A00B03">
      <w:pPr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IFA050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 xml:space="preserve">describes use </w:t>
      </w:r>
      <w:r>
        <w:rPr>
          <w:rFonts w:ascii="Arial" w:eastAsia="SimSun" w:hAnsi="Arial" w:cs="Arial" w:hint="eastAsia"/>
          <w:lang w:eastAsia="zh-CN"/>
        </w:rPr>
        <w:t>cases related to intent management</w:t>
      </w:r>
      <w:r>
        <w:rPr>
          <w:rFonts w:ascii="Arial" w:eastAsia="SimSun" w:hAnsi="Arial" w:cs="Arial" w:hint="eastAsia"/>
          <w:lang w:val="en-US" w:eastAsia="zh-CN"/>
        </w:rPr>
        <w:t>, adds support for</w:t>
      </w:r>
      <w:r>
        <w:rPr>
          <w:rFonts w:ascii="Arial" w:eastAsia="SimSun" w:hAnsi="Arial" w:cs="Arial" w:hint="eastAsia"/>
          <w:lang w:eastAsia="zh-CN"/>
        </w:rPr>
        <w:t xml:space="preserve"> the</w:t>
      </w:r>
      <w:r>
        <w:rPr>
          <w:rFonts w:ascii="Arial" w:eastAsia="SimSun" w:hAnsi="Arial" w:cs="Arial" w:hint="eastAsia"/>
          <w:color w:val="000000"/>
          <w:lang w:val="en-US" w:eastAsia="zh-CN"/>
        </w:rPr>
        <w:t xml:space="preserve"> intent management service interface and the intent information model in NFV-MANO domain,</w:t>
      </w:r>
      <w:r>
        <w:rPr>
          <w:rFonts w:ascii="Arial" w:eastAsia="SimSun" w:hAnsi="Arial" w:cs="Arial"/>
          <w:color w:val="000000"/>
          <w:lang w:val="en-US" w:eastAsia="zh-CN"/>
        </w:rPr>
        <w:t xml:space="preserve"> </w:t>
      </w:r>
      <w:r>
        <w:rPr>
          <w:rFonts w:ascii="Arial" w:eastAsia="SimSun" w:hAnsi="Arial" w:cs="Arial" w:hint="eastAsia"/>
          <w:color w:val="000000"/>
          <w:lang w:val="en-US" w:eastAsia="zh-CN"/>
        </w:rPr>
        <w:t xml:space="preserve">and features </w:t>
      </w:r>
      <w:r>
        <w:rPr>
          <w:rFonts w:ascii="Arial" w:eastAsia="SimSun" w:hAnsi="Arial" w:cs="Arial"/>
          <w:color w:val="000000"/>
          <w:lang w:val="en-US" w:eastAsia="zh-CN"/>
        </w:rPr>
        <w:t xml:space="preserve">a </w:t>
      </w:r>
      <w:r>
        <w:rPr>
          <w:rFonts w:ascii="Arial" w:eastAsia="SimSun" w:hAnsi="Arial" w:cs="Arial" w:hint="eastAsia"/>
          <w:color w:val="000000"/>
          <w:lang w:val="en-US" w:eastAsia="zh-CN"/>
        </w:rPr>
        <w:t>generic modeling that can be reused for applying intent management in domains other than NFV-MA</w:t>
      </w:r>
      <w:r>
        <w:rPr>
          <w:rFonts w:ascii="Arial" w:eastAsia="SimSun" w:hAnsi="Arial" w:cs="Arial" w:hint="eastAsia"/>
          <w:color w:val="000000"/>
          <w:lang w:val="en-US" w:eastAsia="zh-CN"/>
        </w:rPr>
        <w:t>NO domain.</w:t>
      </w:r>
    </w:p>
    <w:p w14:paraId="18164865" w14:textId="77777777" w:rsidR="00E1181F" w:rsidRDefault="00E1181F">
      <w:pPr>
        <w:rPr>
          <w:rFonts w:ascii="Arial" w:hAnsi="Arial" w:cs="Arial"/>
          <w:b/>
        </w:rPr>
      </w:pPr>
    </w:p>
    <w:p w14:paraId="1C12F579" w14:textId="77777777" w:rsidR="006D6717" w:rsidRDefault="00A00B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C12F57A" w14:textId="1A301CFE" w:rsidR="006D6717" w:rsidRDefault="00A00B03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ETSI ISG NFV invites </w:t>
      </w:r>
      <w:r>
        <w:rPr>
          <w:rFonts w:ascii="Arial" w:eastAsia="SimSun" w:hAnsi="Arial" w:cs="Arial" w:hint="eastAsia"/>
          <w:lang w:val="en-US" w:eastAsia="zh-CN" w:bidi="ar"/>
        </w:rPr>
        <w:t xml:space="preserve">possible collaboration with the planned intent management work in </w:t>
      </w:r>
      <w:r>
        <w:rPr>
          <w:rFonts w:ascii="Arial" w:eastAsia="SimSun" w:hAnsi="Arial" w:cs="Arial"/>
          <w:lang w:val="en-US" w:eastAsia="zh-CN" w:bidi="ar"/>
        </w:rPr>
        <w:t xml:space="preserve">stage 3 as part of </w:t>
      </w:r>
      <w:r>
        <w:rPr>
          <w:rFonts w:ascii="Arial" w:eastAsia="SimSun" w:hAnsi="Arial" w:cs="Arial" w:hint="eastAsia"/>
          <w:lang w:val="en-US" w:eastAsia="zh-CN" w:bidi="ar"/>
        </w:rPr>
        <w:t xml:space="preserve">ETSI NFV Release </w:t>
      </w:r>
      <w:r>
        <w:rPr>
          <w:rFonts w:ascii="Arial" w:eastAsia="SimSun" w:hAnsi="Arial" w:cs="Arial" w:hint="eastAsia"/>
          <w:lang w:val="en-US" w:eastAsia="zh-CN" w:bidi="ar"/>
        </w:rPr>
        <w:t>5</w:t>
      </w:r>
      <w:r>
        <w:rPr>
          <w:rFonts w:ascii="Arial" w:eastAsia="SimSun" w:hAnsi="Arial" w:cs="Arial" w:hint="eastAsia"/>
          <w:lang w:val="en-US" w:eastAsia="zh-CN" w:bidi="ar"/>
        </w:rPr>
        <w:t>.</w:t>
      </w:r>
    </w:p>
    <w:p w14:paraId="1C12F57B" w14:textId="77777777" w:rsidR="006D6717" w:rsidRDefault="006D6717">
      <w:pPr>
        <w:rPr>
          <w:rFonts w:ascii="Arial" w:hAnsi="Arial" w:cs="Arial"/>
          <w:b/>
          <w:sz w:val="24"/>
        </w:rPr>
      </w:pPr>
    </w:p>
    <w:p w14:paraId="1C12F57C" w14:textId="77777777" w:rsidR="006D6717" w:rsidRDefault="00A00B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1C12F57D" w14:textId="77777777" w:rsidR="006D6717" w:rsidRDefault="00A00B0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11-15 December 2023</w:t>
      </w:r>
      <w:r>
        <w:rPr>
          <w:rFonts w:ascii="Arial" w:hAnsi="Arial" w:cs="Arial"/>
          <w:lang w:val="en-US"/>
        </w:rPr>
        <w:tab/>
        <w:t>NFV#44 plenary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Tokyo, Japan</w:t>
      </w:r>
    </w:p>
    <w:p w14:paraId="6B22D0C0" w14:textId="61129C39" w:rsidR="00D766CD" w:rsidRDefault="00D766CD">
      <w:r>
        <w:rPr>
          <w:rFonts w:ascii="Arial" w:hAnsi="Arial" w:cs="Arial"/>
          <w:lang w:val="en-US"/>
        </w:rPr>
        <w:t>11-15 March 2024</w:t>
      </w:r>
      <w:r>
        <w:rPr>
          <w:rFonts w:ascii="Arial" w:hAnsi="Arial" w:cs="Arial"/>
          <w:lang w:val="en-US"/>
        </w:rPr>
        <w:tab/>
        <w:t>NFV#45 plenary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Sophia Antipolis, France</w:t>
      </w:r>
    </w:p>
    <w:p w14:paraId="1C12F57E" w14:textId="77777777" w:rsidR="006D6717" w:rsidRDefault="006D6717">
      <w:pPr>
        <w:rPr>
          <w:rFonts w:ascii="Arial" w:hAnsi="Arial" w:cs="Arial"/>
        </w:rPr>
      </w:pPr>
    </w:p>
    <w:sectPr w:rsidR="006D671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2F581" w14:textId="77777777" w:rsidR="006D6717" w:rsidRDefault="00A00B03">
      <w:r>
        <w:separator/>
      </w:r>
    </w:p>
  </w:endnote>
  <w:endnote w:type="continuationSeparator" w:id="0">
    <w:p w14:paraId="1C12F582" w14:textId="77777777" w:rsidR="006D6717" w:rsidRDefault="00A00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2F584" w14:textId="77777777" w:rsidR="006D6717" w:rsidRDefault="00A00B03">
    <w:pPr>
      <w:tabs>
        <w:tab w:val="center" w:pos="4536"/>
      </w:tabs>
      <w:rPr>
        <w:rFonts w:ascii="Arial" w:hAnsi="Arial" w:cs="Arial"/>
      </w:rPr>
    </w:pPr>
    <w:r>
      <w:tab/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</w:rPr>
      <w:t>1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>/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Arial" w:hAnsi="Arial" w:cs="Arial"/>
      </w:rPr>
      <w:t>1</w:t>
    </w:r>
    <w:r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2F57F" w14:textId="77777777" w:rsidR="006D6717" w:rsidRDefault="00A00B03">
      <w:r>
        <w:separator/>
      </w:r>
    </w:p>
  </w:footnote>
  <w:footnote w:type="continuationSeparator" w:id="0">
    <w:p w14:paraId="1C12F580" w14:textId="77777777" w:rsidR="006D6717" w:rsidRDefault="00A00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2F583" w14:textId="77777777" w:rsidR="006D6717" w:rsidRDefault="00A00B03">
    <w:pPr>
      <w:tabs>
        <w:tab w:val="right" w:pos="9356"/>
      </w:tabs>
      <w:spacing w:after="120"/>
      <w:ind w:left="-567"/>
      <w:rPr>
        <w:rFonts w:ascii="Arial" w:eastAsia="SimSun" w:hAnsi="Arial" w:cs="Arial"/>
        <w:i/>
        <w:color w:val="0000FF"/>
        <w:szCs w:val="36"/>
        <w:lang w:val="en-US" w:eastAsia="zh-CN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1C12F585" wp14:editId="1C12F586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sz w:val="36"/>
        <w:szCs w:val="36"/>
      </w:rPr>
      <w:tab/>
    </w:r>
    <w:r>
      <w:rPr>
        <w:rFonts w:ascii="Arial" w:hAnsi="Arial" w:cs="Arial"/>
        <w:b/>
        <w:sz w:val="36"/>
        <w:szCs w:val="36"/>
        <w:shd w:val="clear" w:color="auto" w:fill="DBE5F1"/>
      </w:rPr>
      <w:t>NFV(23)000217</w:t>
    </w:r>
    <w:r>
      <w:rPr>
        <w:rFonts w:ascii="Arial" w:eastAsia="SimSun" w:hAnsi="Arial" w:cs="Arial" w:hint="eastAsia"/>
        <w:b/>
        <w:sz w:val="36"/>
        <w:szCs w:val="36"/>
        <w:shd w:val="clear" w:color="auto" w:fill="DBE5F1"/>
        <w:lang w:val="en-US" w:eastAsia="zh-CN"/>
      </w:rPr>
      <w:t>r1</w:t>
    </w:r>
    <w:r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98557313">
    <w:abstractNumId w:val="1"/>
  </w:num>
  <w:num w:numId="2" w16cid:durableId="1724715832">
    <w:abstractNumId w:val="4"/>
  </w:num>
  <w:num w:numId="3" w16cid:durableId="1070271315">
    <w:abstractNumId w:val="0"/>
  </w:num>
  <w:num w:numId="4" w16cid:durableId="1665544331">
    <w:abstractNumId w:val="3"/>
  </w:num>
  <w:num w:numId="5" w16cid:durableId="7513172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C4CB6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46071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6D6717"/>
    <w:rsid w:val="00704C3A"/>
    <w:rsid w:val="00723463"/>
    <w:rsid w:val="00745E27"/>
    <w:rsid w:val="00776B64"/>
    <w:rsid w:val="007833A7"/>
    <w:rsid w:val="007A3763"/>
    <w:rsid w:val="007D0A94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00B03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766CD"/>
    <w:rsid w:val="00D9435B"/>
    <w:rsid w:val="00DA185D"/>
    <w:rsid w:val="00DA65AB"/>
    <w:rsid w:val="00DD314A"/>
    <w:rsid w:val="00DE4DB9"/>
    <w:rsid w:val="00DF6ED5"/>
    <w:rsid w:val="00E00EF0"/>
    <w:rsid w:val="00E06E1E"/>
    <w:rsid w:val="00E1181F"/>
    <w:rsid w:val="00EA0019"/>
    <w:rsid w:val="00EB16B6"/>
    <w:rsid w:val="00EB1C87"/>
    <w:rsid w:val="00EE7092"/>
    <w:rsid w:val="00EF607B"/>
    <w:rsid w:val="00F11466"/>
    <w:rsid w:val="00F12615"/>
    <w:rsid w:val="00F9024E"/>
    <w:rsid w:val="09FC54C3"/>
    <w:rsid w:val="19FE7EDE"/>
    <w:rsid w:val="4234645B"/>
    <w:rsid w:val="645B5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2F4FD"/>
  <w15:docId w15:val="{C67C41F4-87DC-4BCD-B28A-83A8A8382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Hyperlink">
    <w:name w:val="Hyperlink"/>
    <w:basedOn w:val="DefaultParagraphFont"/>
    <w:rPr>
      <w:color w:val="0000FF"/>
      <w:sz w:val="20"/>
      <w:u w:val="single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0">
    <w:name w:val="B1"/>
    <w:basedOn w:val="List"/>
    <w:qFormat/>
    <w:pPr>
      <w:ind w:left="738" w:hanging="454"/>
    </w:pPr>
  </w:style>
  <w:style w:type="paragraph" w:customStyle="1" w:styleId="B1">
    <w:name w:val="B1+"/>
    <w:basedOn w:val="B10"/>
    <w:qFormat/>
    <w:pPr>
      <w:numPr>
        <w:numId w:val="1"/>
      </w:numPr>
    </w:pPr>
  </w:style>
  <w:style w:type="paragraph" w:customStyle="1" w:styleId="B20">
    <w:name w:val="B2"/>
    <w:basedOn w:val="List2"/>
    <w:qFormat/>
    <w:pPr>
      <w:ind w:left="1191" w:hanging="454"/>
    </w:pPr>
  </w:style>
  <w:style w:type="paragraph" w:customStyle="1" w:styleId="B2">
    <w:name w:val="B2+"/>
    <w:basedOn w:val="B20"/>
    <w:qFormat/>
    <w:pPr>
      <w:numPr>
        <w:numId w:val="2"/>
      </w:numPr>
    </w:pPr>
  </w:style>
  <w:style w:type="paragraph" w:customStyle="1" w:styleId="B30">
    <w:name w:val="B3"/>
    <w:basedOn w:val="List3"/>
    <w:qFormat/>
    <w:pPr>
      <w:ind w:left="1645" w:hanging="454"/>
    </w:pPr>
  </w:style>
  <w:style w:type="paragraph" w:customStyle="1" w:styleId="B3">
    <w:name w:val="B3+"/>
    <w:basedOn w:val="B30"/>
    <w:qFormat/>
    <w:pPr>
      <w:numPr>
        <w:numId w:val="3"/>
      </w:numPr>
      <w:tabs>
        <w:tab w:val="left" w:pos="1134"/>
      </w:tabs>
    </w:pPr>
  </w:style>
  <w:style w:type="paragraph" w:customStyle="1" w:styleId="B4">
    <w:name w:val="B4"/>
    <w:basedOn w:val="List4"/>
    <w:qFormat/>
    <w:pPr>
      <w:ind w:left="2098" w:hanging="454"/>
    </w:pPr>
  </w:style>
  <w:style w:type="paragraph" w:customStyle="1" w:styleId="B5">
    <w:name w:val="B5"/>
    <w:basedOn w:val="List5"/>
    <w:qFormat/>
    <w:pPr>
      <w:ind w:left="2552" w:hanging="454"/>
    </w:pPr>
  </w:style>
  <w:style w:type="paragraph" w:customStyle="1" w:styleId="BL">
    <w:name w:val="BL"/>
    <w:basedOn w:val="Normal"/>
    <w:qFormat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qFormat/>
    <w:pPr>
      <w:numPr>
        <w:numId w:val="5"/>
      </w:numPr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FL">
    <w:name w:val="FL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b/>
      <w:sz w:val="18"/>
      <w:szCs w:val="20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Times New Roman"/>
      <w:sz w:val="36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lang w:val="en-GB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TAJ">
    <w:name w:val="TAJ"/>
    <w:basedOn w:val="Normal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F">
    <w:name w:val="TF"/>
    <w:basedOn w:val="FL"/>
    <w:pPr>
      <w:keepNext w:val="0"/>
      <w:spacing w:before="0" w:after="240"/>
    </w:pPr>
  </w:style>
  <w:style w:type="paragraph" w:customStyle="1" w:styleId="TH">
    <w:name w:val="TH"/>
    <w:basedOn w:val="FL"/>
    <w:next w:val="FL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32"/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unhideWhenUsed/>
    <w:rsid w:val="007D0A94"/>
    <w:rPr>
      <w:rFonts w:ascii="Times New Roman" w:eastAsia="Times New Roman" w:hAnsi="Times New Roman" w:cs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118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shihiro.nakajima.td@nttdocomo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tsi.org/deliver/etsi_gs/NFV-IFA/001_099/050/04.05.01_60/gs_NFV-IFA050v040501p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NFVSupport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lrich.kleber@huawei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333</Words>
  <Characters>1904</Characters>
  <Application>Microsoft Office Word</Application>
  <DocSecurity>0</DocSecurity>
  <Lines>15</Lines>
  <Paragraphs>4</Paragraphs>
  <ScaleCrop>false</ScaleCrop>
  <Company>ETSI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NFV(23)000217 - LSout on publication of IFA050</dc:title>
  <dc:creator>China Mobile Research Inst.</dc:creator>
  <dc:description>20110621 - Template upated:1- L&amp;R margins set to 2cm 2-Header table left indent set to 0</dc:description>
  <cp:lastModifiedBy>Nicolae Madalin Neag</cp:lastModifiedBy>
  <cp:revision>9</cp:revision>
  <cp:lastPrinted>2010-12-06T15:51:00Z</cp:lastPrinted>
  <dcterms:created xsi:type="dcterms:W3CDTF">2012-04-12T08:01:00Z</dcterms:created>
  <dcterms:modified xsi:type="dcterms:W3CDTF">2023-10-20T16:10:00Z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E48724FE92FE4DEE854BAA43B1D0C336</vt:lpwstr>
  </property>
</Properties>
</file>